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58A2E"/>
          <w:sz w:val="18"/>
          <w:szCs w:val="18"/>
        </w:rPr>
        <w:t xml:space="preserve">pma: FINANZ- UND VERSICHERUNGSMAKLER GMBH</w:t>
      </w:r>
    </w:p>
    <w:p>
      <w:pPr>
        <w:spacing w:after="300"/>
      </w:pPr>
      <w:r>
        <w:rPr>
          <w:b/>
          <w:bCs/>
          <w:color w:val="12233B"/>
          <w:sz w:val="36"/>
          <w:szCs w:val="36"/>
        </w:rPr>
        <w:t xml:space="preserve">Gesprächsleitfaden: Altersvorsorge ja, aber in der richtigen Reihenfolge</w:t>
      </w:r>
    </w:p>
    <w:p>
      <w:pPr>
        <w:pStyle w:val="Heading1"/>
        <w:spacing w:after="200" w:before="400"/>
      </w:pPr>
      <w:r>
        <w:t xml:space="preserve">Ziel des Gesprächsleitfadens</w:t>
      </w:r>
    </w:p>
    <w:p>
      <w:pPr>
        <w:spacing w:after="120"/>
      </w:pPr>
      <w:r>
        <w:rPr>
          <w:sz w:val="22"/>
          <w:szCs w:val="22"/>
        </w:rPr>
        <w:t xml:space="preserve">Dieser Leitfaden unterstützt Berater dabei, Kundengespräche rund um Altersvorsorge bzw. das Altersvorsorgedepot (AVD) nicht vorschnell auf ein Themenfeld oder eine direkte Produktdiskussion zu verengen.</w:t>
      </w:r>
    </w:p>
    <w:p>
      <w:pPr>
        <w:spacing w:after="120"/>
      </w:pPr>
      <w:r>
        <w:rPr>
          <w:sz w:val="22"/>
          <w:szCs w:val="22"/>
        </w:rPr>
        <w:t xml:space="preserve">Stattdessen soll der Anlass genutzt werden, um die finanzielle Gesamtsituation auf Basis der DIN 77230 strukturiert einzuordnen. Die Norm beschreibt eine nachvollziehbare, allgemeingültige Analyse und ist damit das Fundament für eine hochwertige Beratung: Der normierte Prozess, die klare Priorisierung und der transparente Ausweis von Orientierungsgrößen schaffen Vertrauen beim Kunden und erhöhen die Umsetzungschancen.</w:t>
      </w:r>
    </w:p>
    <w:p>
      <w:pPr>
        <w:spacing w:after="120"/>
      </w:pPr>
      <w:r>
        <w:rPr>
          <w:sz w:val="22"/>
          <w:szCs w:val="22"/>
        </w:rPr>
        <w:t xml:space="preserve">Die DIN-Analyse zeigt die Risikoverteilung des Kunden auf — etwa Haftung, Arbeitskraftverlust oder Familienvorsorge — und wie diese zueinander in Rangfolge stehen.</w:t>
      </w:r>
    </w:p>
    <w:p>
      <w:pPr>
        <w:shd w:fill="F4F1EA" w:val="clear"/>
        <w:spacing w:after="300" w:before="100"/>
        <w:ind w:left="120" w:right="120"/>
      </w:pPr>
      <w:r>
        <w:rPr>
          <w:sz w:val="21"/>
          <w:szCs w:val="21"/>
        </w:rPr>
        <w:t xml:space="preserve">Damit wird Altersvorsorge nicht gebremst, sondern sinnvoll eingebettet: erst die existenziellen Risiken identifizieren, die Liquidität sichern, bestehende Verträge berücksichtigen und offene Lücken schließen — danach Altersvorsorge und Vermögensaufbau. Diese Reihenfolge ist auch in der Kundenpräsentation als zentrale Gesprächslogik angelegt.</w:t>
      </w:r>
    </w:p>
    <w:p>
      <w:pPr>
        <w:pStyle w:val="Heading1"/>
        <w:spacing w:after="200" w:before="400"/>
      </w:pPr>
      <w:r>
        <w:t xml:space="preserve">Die acht Gesprächsschritte</w:t>
      </w:r>
    </w:p>
    <w:p>
      <w:pPr>
        <w:spacing w:after="120"/>
      </w:pPr>
      <w:r>
        <w:rPr>
          <w:sz w:val="22"/>
          <w:szCs w:val="22"/>
        </w:rPr>
        <w:t xml:space="preserve">Jeder Schritt enthält drei Tonalitäts-Varianten — wählen Sie die Formulierung, die zu Ihnen und zur Gesprächssituation passt: neutral &amp; kundenorientiert, stärker beratend, oder kurz &amp; prägnant.</w:t>
      </w:r>
    </w:p>
    <w:p>
      <w:pPr>
        <w:pStyle w:val="Heading2"/>
        <w:spacing w:after="120" w:before="280"/>
      </w:pPr>
      <w:r>
        <w:t xml:space="preserve">Schritt 1 — Gesprächseinstieg</w:t>
      </w:r>
    </w:p>
    <w:p>
      <w:pPr>
        <w:pBdr>
          <w:left w:val="single" w:color="B58A2E" w:sz="18" w:space="8"/>
        </w:pBdr>
        <w:shd w:fill="F4F1EA" w:val="clear"/>
        <w:spacing w:after="120" w:before="100"/>
        <w:ind w:left="120"/>
      </w:pPr>
      <w:r>
        <w:rPr>
          <w:b/>
          <w:bCs/>
          <w:sz w:val="21"/>
          <w:szCs w:val="21"/>
        </w:rPr>
        <w:t xml:space="preserve">Ziel: </w:t>
      </w:r>
      <w:r>
        <w:rPr>
          <w:sz w:val="21"/>
          <w:szCs w:val="21"/>
        </w:rPr>
        <w:t xml:space="preserve">Der Kunde soll sich mit seinem Interesse am Altersvorsorgedepot ernst genommen fühlen. Gleichzeitig wird die Beratung von Beginn an breiter eingeordnet.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shd w:fill="FFFFFF" w:val="clear"/>
            <w:tcMar>
              <w:top w:type="dxa" w:w="100"/>
              <w:left w:type="dxa" w:w="100"/>
              <w:bottom w:type="dxa" w:w="100"/>
              <w:right w:type="dxa" w:w="100"/>
            </w:tcMar>
          </w:tcPr>
          <w:p>
            <w:pPr>
              <w:spacing w:after="60"/>
            </w:pPr>
            <w:r>
              <w:rPr>
                <w:b/>
                <w:bCs/>
                <w:color w:val="B58A2E"/>
                <w:sz w:val="19"/>
                <w:szCs w:val="19"/>
              </w:rPr>
              <w:t xml:space="preserve">Neutral &amp; kundenorientiert</w:t>
            </w:r>
          </w:p>
          <w:p>
            <w:pPr>
              <w:spacing w:after="40"/>
            </w:pPr>
            <w:r>
              <w:rPr>
                <w:sz w:val="20"/>
                <w:szCs w:val="20"/>
              </w:rPr>
              <w:t xml:space="preserve">Das Altersvorsorgedepot kann ein spannender Baustein sein.</w:t>
            </w:r>
          </w:p>
          <w:p>
            <w:pPr>
              <w:spacing w:after="40"/>
            </w:pPr>
            <w:r>
              <w:rPr>
                <w:sz w:val="20"/>
                <w:szCs w:val="20"/>
              </w:rPr>
              <w:t xml:space="preserve">Bevor wir aber über konkrete Lösungen sprechen, sollten wir erst einmal prüfen, ob das Fundament steht.</w:t>
            </w:r>
          </w:p>
          <w:p>
            <w:pPr>
              <w:spacing w:after="40"/>
            </w:pPr>
            <w:r>
              <w:rPr>
                <w:sz w:val="20"/>
                <w:szCs w:val="20"/>
              </w:rPr>
              <w:t xml:space="preserve">Denn Altersvorsorge ist eine Entscheidung für Jahrzehnte und braucht deshalb ein gutes Fundament.</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Etwas stärker beratend</w:t>
            </w:r>
          </w:p>
          <w:p>
            <w:pPr>
              <w:spacing w:after="40"/>
            </w:pPr>
            <w:r>
              <w:rPr>
                <w:sz w:val="20"/>
                <w:szCs w:val="20"/>
              </w:rPr>
              <w:t xml:space="preserve">Viele sprechen beim Altersvorsorgedepot zuerst über Rendite, Kosten und Förderung. Das ist verständlich.</w:t>
            </w:r>
          </w:p>
          <w:p>
            <w:pPr>
              <w:spacing w:after="40"/>
            </w:pPr>
            <w:r>
              <w:rPr>
                <w:sz w:val="20"/>
                <w:szCs w:val="20"/>
              </w:rPr>
              <w:t xml:space="preserve">In der Beratung ist aber die Reihenfolge entscheidend: Erst klären wir, ob das Fundament steht, dann können wir entscheiden, welche Altersvorsorge-Lösung wirklich passt.</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Kurz &amp; prägnant</w:t>
            </w:r>
          </w:p>
          <w:p>
            <w:pPr>
              <w:spacing w:after="40"/>
            </w:pPr>
            <w:r>
              <w:rPr>
                <w:sz w:val="20"/>
                <w:szCs w:val="20"/>
              </w:rPr>
              <w:t xml:space="preserve">Altersvorsorge ist wichtig. Aber sie funktioniert nur zuverlässig, wenn die Basis stimmt.</w:t>
            </w:r>
          </w:p>
        </w:tc>
      </w:tr>
    </w:tbl>
    <w:p>
      <w:pPr>
        <w:spacing w:after="200"/>
      </w:pPr>
    </w:p>
    <w:p>
      <w:pPr>
        <w:pStyle w:val="Heading2"/>
        <w:spacing w:after="120" w:before="280"/>
      </w:pPr>
      <w:r>
        <w:t xml:space="preserve">Schritt 2 — Überleitung vom Altersvorsorgedepot zur Gesamtanalyse</w:t>
      </w:r>
    </w:p>
    <w:p>
      <w:pPr>
        <w:pBdr>
          <w:left w:val="single" w:color="B58A2E" w:sz="18" w:space="8"/>
        </w:pBdr>
        <w:shd w:fill="F4F1EA" w:val="clear"/>
        <w:spacing w:after="120" w:before="100"/>
        <w:ind w:left="120"/>
      </w:pPr>
      <w:r>
        <w:rPr>
          <w:b/>
          <w:bCs/>
          <w:sz w:val="21"/>
          <w:szCs w:val="21"/>
        </w:rPr>
        <w:t xml:space="preserve">Ziel: </w:t>
      </w:r>
      <w:r>
        <w:rPr>
          <w:sz w:val="21"/>
          <w:szCs w:val="21"/>
        </w:rPr>
        <w:t xml:space="preserve">Der Kunde soll verstehen, warum nicht sofort über Depot, Fonds, Kosten oder Förderung gesprochen wird. Damit wird verhindert, dass Kunde und Berater zu früh zu Produktdetails springen, bevor das eigentliche Problem geklärt ist.</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shd w:fill="FFFFFF" w:val="clear"/>
            <w:tcMar>
              <w:top w:type="dxa" w:w="100"/>
              <w:left w:type="dxa" w:w="100"/>
              <w:bottom w:type="dxa" w:w="100"/>
              <w:right w:type="dxa" w:w="100"/>
            </w:tcMar>
          </w:tcPr>
          <w:p>
            <w:pPr>
              <w:spacing w:after="60"/>
            </w:pPr>
            <w:r>
              <w:rPr>
                <w:b/>
                <w:bCs/>
                <w:color w:val="B58A2E"/>
                <w:sz w:val="19"/>
                <w:szCs w:val="19"/>
              </w:rPr>
              <w:t xml:space="preserve">Mit Hinweis auf Reihenfolge</w:t>
            </w:r>
          </w:p>
          <w:p>
            <w:pPr>
              <w:spacing w:after="40"/>
            </w:pPr>
            <w:r>
              <w:rPr>
                <w:sz w:val="20"/>
                <w:szCs w:val="20"/>
              </w:rPr>
              <w:t xml:space="preserve">Bevor wir über eine konkrete Altersvorsorgeform sprechen, sollten wir drei Dinge klären:</w:t>
            </w:r>
          </w:p>
          <w:p>
            <w:pPr>
              <w:spacing w:after="40"/>
            </w:pPr>
            <w:r>
              <w:rPr>
                <w:sz w:val="20"/>
                <w:szCs w:val="20"/>
              </w:rPr>
              <w:t xml:space="preserve">Erstens, ob existenzielle Risiken abgesichert sind.</w:t>
            </w:r>
          </w:p>
          <w:p>
            <w:pPr>
              <w:spacing w:after="40"/>
            </w:pPr>
            <w:r>
              <w:rPr>
                <w:sz w:val="20"/>
                <w:szCs w:val="20"/>
              </w:rPr>
              <w:t xml:space="preserve">Zweitens, ob genug Liquidität vorhanden ist oder Schulden drücken.</w:t>
            </w:r>
          </w:p>
          <w:p>
            <w:pPr>
              <w:spacing w:after="40"/>
            </w:pPr>
            <w:r>
              <w:rPr>
                <w:sz w:val="20"/>
                <w:szCs w:val="20"/>
              </w:rPr>
              <w:t xml:space="preserve">Drittens, welche Vorsorgelücke überhaupt geschlossen werden soll.</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Mit Schutzlogik</w:t>
            </w:r>
          </w:p>
          <w:p>
            <w:pPr>
              <w:spacing w:after="40"/>
            </w:pPr>
            <w:r>
              <w:rPr>
                <w:sz w:val="20"/>
                <w:szCs w:val="20"/>
              </w:rPr>
              <w:t xml:space="preserve">Rendite hilft wenig, wenn ein anderes Risiko die gesamte Planung gefährdet.</w:t>
            </w:r>
          </w:p>
          <w:p>
            <w:pPr>
              <w:spacing w:after="40"/>
            </w:pPr>
            <w:r>
              <w:rPr>
                <w:sz w:val="20"/>
                <w:szCs w:val="20"/>
              </w:rPr>
              <w:t xml:space="preserve">Deshalb schauen wir zuerst auf die Themen, die finanziell wirklich wehtun können, und danach auf die Optimierung.</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Mit Kundennutzen</w:t>
            </w:r>
          </w:p>
          <w:p>
            <w:pPr>
              <w:spacing w:after="40"/>
            </w:pPr>
            <w:r>
              <w:rPr>
                <w:sz w:val="20"/>
                <w:szCs w:val="20"/>
              </w:rPr>
              <w:t xml:space="preserve">Das Ziel ist nicht, den Prozess komplizierter zu machen.</w:t>
            </w:r>
          </w:p>
          <w:p>
            <w:pPr>
              <w:spacing w:after="40"/>
            </w:pPr>
            <w:r>
              <w:rPr>
                <w:sz w:val="20"/>
                <w:szCs w:val="20"/>
              </w:rPr>
              <w:t xml:space="preserve">Im Gegenteil: Wenn die Reihenfolge stimmt, wird die Entscheidung einfacher, sicherer und besser nachvollziehbar.</w:t>
            </w:r>
          </w:p>
        </w:tc>
      </w:tr>
    </w:tbl>
    <w:p>
      <w:pPr>
        <w:spacing w:after="200"/>
      </w:pPr>
    </w:p>
    <w:p>
      <w:pPr>
        <w:pStyle w:val="Heading2"/>
        <w:spacing w:after="120" w:before="280"/>
      </w:pPr>
      <w:r>
        <w:t xml:space="preserve">Schritt 3 — Erklärung der richtigen Reihenfolge</w:t>
      </w:r>
    </w:p>
    <w:p>
      <w:pPr>
        <w:pBdr>
          <w:left w:val="single" w:color="B58A2E" w:sz="18" w:space="8"/>
        </w:pBdr>
        <w:shd w:fill="F4F1EA" w:val="clear"/>
        <w:spacing w:after="120" w:before="100"/>
        <w:ind w:left="120"/>
      </w:pPr>
      <w:r>
        <w:rPr>
          <w:b/>
          <w:bCs/>
          <w:sz w:val="21"/>
          <w:szCs w:val="21"/>
        </w:rPr>
        <w:t xml:space="preserve">Ziel: </w:t>
      </w:r>
      <w:r>
        <w:rPr>
          <w:sz w:val="21"/>
          <w:szCs w:val="21"/>
        </w:rPr>
        <w:t xml:space="preserve">Der Berater braucht eine einfache und merkfähige Struktur.</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shd w:fill="FFFFFF" w:val="clear"/>
            <w:tcMar>
              <w:top w:type="dxa" w:w="100"/>
              <w:left w:type="dxa" w:w="100"/>
              <w:bottom w:type="dxa" w:w="100"/>
              <w:right w:type="dxa" w:w="100"/>
            </w:tcMar>
          </w:tcPr>
          <w:p>
            <w:pPr>
              <w:spacing w:after="60"/>
            </w:pPr>
            <w:r>
              <w:rPr>
                <w:b/>
                <w:bCs/>
                <w:color w:val="B58A2E"/>
                <w:sz w:val="19"/>
                <w:szCs w:val="19"/>
              </w:rPr>
              <w:t xml:space="preserve">Kernformulierung</w:t>
            </w:r>
          </w:p>
          <w:p>
            <w:pPr>
              <w:spacing w:after="40"/>
            </w:pPr>
            <w:r>
              <w:rPr>
                <w:sz w:val="20"/>
                <w:szCs w:val="20"/>
              </w:rPr>
              <w:t xml:space="preserve">Ich arbeite hier mit einer einfachen Reihenfolge: Erst wesentliche Risiken identifizieren, Liquiditätssituation prüfen und dann bestehende Verträge berücksichtigen, um mögliche Lücken zu bestimmen.</w:t>
            </w:r>
          </w:p>
          <w:p>
            <w:pPr>
              <w:spacing w:after="40"/>
            </w:pPr>
            <w:r>
              <w:rPr>
                <w:sz w:val="20"/>
                <w:szCs w:val="20"/>
              </w:rPr>
              <w:t xml:space="preserve">Erst mit diesem kompletten Blick können Sie sich bewusst entscheiden, ob wir dann direkt in die Altersvorsorge gehen oder das finanzielle Fundament stärken.</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Die vier Schritte</w:t>
            </w:r>
          </w:p>
          <w:p>
            <w:pPr>
              <w:spacing w:after="40"/>
            </w:pPr>
            <w:r>
              <w:rPr>
                <w:sz w:val="20"/>
                <w:szCs w:val="20"/>
              </w:rPr>
              <w:t xml:space="preserve">1. Existenzielle Risiken identifizieren</w:t>
            </w:r>
          </w:p>
          <w:p>
            <w:pPr>
              <w:spacing w:after="40"/>
            </w:pPr>
            <w:r>
              <w:rPr>
                <w:sz w:val="20"/>
                <w:szCs w:val="20"/>
              </w:rPr>
              <w:t xml:space="preserve">2. Liquiditätsreserve &amp; Schulden prüfen</w:t>
            </w:r>
          </w:p>
          <w:p>
            <w:pPr>
              <w:spacing w:after="40"/>
            </w:pPr>
            <w:r>
              <w:rPr>
                <w:sz w:val="20"/>
                <w:szCs w:val="20"/>
              </w:rPr>
              <w:t xml:space="preserve">3. Bestand feststellen, Lücken schließen</w:t>
            </w:r>
          </w:p>
          <w:p>
            <w:pPr>
              <w:spacing w:after="40"/>
            </w:pPr>
            <w:r>
              <w:rPr>
                <w:sz w:val="20"/>
                <w:szCs w:val="20"/>
              </w:rPr>
              <w:t xml:space="preserve">4. Die beste Lösung für Altersvorsorge suchen</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Ergänzender Hinweis</w:t>
            </w:r>
          </w:p>
          <w:p>
            <w:pPr>
              <w:spacing w:after="40"/>
            </w:pPr>
            <w:r>
              <w:rPr>
                <w:sz w:val="20"/>
                <w:szCs w:val="20"/>
              </w:rPr>
              <w:t xml:space="preserve">Schritt 3 lohnt sich besonders: Bei der Bestandsprüfung stellen wir oft fest, dass sich bereits vorhandenes Kapital freisetzen und gezielt für die Altersvorsorge nutzen lässt — dazu mehr in Schritt 7.</w:t>
            </w:r>
          </w:p>
        </w:tc>
      </w:tr>
    </w:tbl>
    <w:p>
      <w:pPr>
        <w:spacing w:after="200"/>
      </w:pPr>
    </w:p>
    <w:p>
      <w:pPr>
        <w:pStyle w:val="Heading2"/>
        <w:spacing w:after="120" w:before="280"/>
      </w:pPr>
      <w:r>
        <w:t xml:space="preserve">Schritt 4 — Einstieg in den DIN-Finanz-Check</w:t>
      </w:r>
    </w:p>
    <w:p>
      <w:pPr>
        <w:pBdr>
          <w:left w:val="single" w:color="B58A2E" w:sz="18" w:space="8"/>
        </w:pBdr>
        <w:shd w:fill="F4F1EA" w:val="clear"/>
        <w:spacing w:after="120" w:before="100"/>
        <w:ind w:left="120"/>
      </w:pPr>
      <w:r>
        <w:rPr>
          <w:b/>
          <w:bCs/>
          <w:sz w:val="21"/>
          <w:szCs w:val="21"/>
        </w:rPr>
        <w:t xml:space="preserve">Ziel: </w:t>
      </w:r>
      <w:r>
        <w:rPr>
          <w:sz w:val="21"/>
          <w:szCs w:val="21"/>
        </w:rPr>
        <w:t xml:space="preserve">Der DIN-Finanz-Check soll nicht wie Bürokratie wirken, sondern als praktische Orientierung.</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shd w:fill="FFFFFF" w:val="clear"/>
            <w:tcMar>
              <w:top w:type="dxa" w:w="100"/>
              <w:left w:type="dxa" w:w="100"/>
              <w:bottom w:type="dxa" w:w="100"/>
              <w:right w:type="dxa" w:w="100"/>
            </w:tcMar>
          </w:tcPr>
          <w:p>
            <w:pPr>
              <w:spacing w:after="60"/>
            </w:pPr>
            <w:r>
              <w:rPr>
                <w:b/>
                <w:bCs/>
                <w:color w:val="B58A2E"/>
                <w:sz w:val="19"/>
                <w:szCs w:val="19"/>
              </w:rPr>
              <w:t xml:space="preserve">Einfach mit DIN-Bezug</w:t>
            </w:r>
          </w:p>
          <w:p>
            <w:pPr>
              <w:spacing w:after="40"/>
            </w:pPr>
            <w:r>
              <w:rPr>
                <w:sz w:val="20"/>
                <w:szCs w:val="20"/>
              </w:rPr>
              <w:t xml:space="preserve">Dafür nutzen wir die strukturierte Logik aus der DIN 77230.</w:t>
            </w:r>
          </w:p>
          <w:p>
            <w:pPr>
              <w:spacing w:after="40"/>
            </w:pPr>
            <w:r>
              <w:rPr>
                <w:sz w:val="20"/>
                <w:szCs w:val="20"/>
              </w:rPr>
              <w:t xml:space="preserve">Diese Norm hilft uns, keine wichtigen Grundlagen zu übersehen und die Themen in der richtigen Reihenfolge zu betrachten.</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Etwas ausführlicher mit DIN-Bezug</w:t>
            </w:r>
          </w:p>
          <w:p>
            <w:pPr>
              <w:spacing w:after="40"/>
            </w:pPr>
            <w:r>
              <w:rPr>
                <w:sz w:val="20"/>
                <w:szCs w:val="20"/>
              </w:rPr>
              <w:t xml:space="preserve">Ich würde mit Ihnen eine Analyse auf Basis der DIN 77230 machen.</w:t>
            </w:r>
          </w:p>
          <w:p>
            <w:pPr>
              <w:spacing w:after="40"/>
            </w:pPr>
            <w:r>
              <w:rPr>
                <w:sz w:val="20"/>
                <w:szCs w:val="20"/>
              </w:rPr>
              <w:t xml:space="preserve">Mit diesem normierten Rahmen erhalten Sie eine transparente Übersicht, ob und welche Themen noch offen sind, die wichtiger oder dringender als die Altersvorsorge sein können.</w:t>
            </w:r>
          </w:p>
          <w:p>
            <w:pPr>
              <w:spacing w:after="40"/>
            </w:pPr>
            <w:r>
              <w:rPr>
                <w:sz w:val="20"/>
                <w:szCs w:val="20"/>
              </w:rPr>
              <w:t xml:space="preserve">So wissen Sie, wo Sie stehen und können sich bewusst entscheiden.</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Mit Entlastung</w:t>
            </w:r>
          </w:p>
          <w:p>
            <w:pPr>
              <w:spacing w:after="40"/>
            </w:pPr>
            <w:r>
              <w:rPr>
                <w:sz w:val="20"/>
                <w:szCs w:val="20"/>
              </w:rPr>
              <w:t xml:space="preserve">Das ist keine große Analyse und keine Produktentscheidung.</w:t>
            </w:r>
          </w:p>
          <w:p>
            <w:pPr>
              <w:spacing w:after="40"/>
            </w:pPr>
            <w:r>
              <w:rPr>
                <w:sz w:val="20"/>
                <w:szCs w:val="20"/>
              </w:rPr>
              <w:t xml:space="preserve">Es ist erst ein kurzer Check und das noch auf Basis einer Norm. Also transparent und nachvollziehbar.</w:t>
            </w:r>
          </w:p>
          <w:p>
            <w:pPr>
              <w:spacing w:after="40"/>
            </w:pPr>
            <w:r>
              <w:rPr>
                <w:sz w:val="20"/>
                <w:szCs w:val="20"/>
              </w:rPr>
              <w:t xml:space="preserve">Sie erfahren, wo Sie stehen, was bereits geregelt ist, und was vor einer Altersvorsorgeentscheidung geklärt werden sollte.</w:t>
            </w:r>
          </w:p>
        </w:tc>
      </w:tr>
    </w:tbl>
    <w:p>
      <w:pPr>
        <w:spacing w:after="200"/>
      </w:pPr>
    </w:p>
    <w:p>
      <w:pPr>
        <w:pStyle w:val="Heading1"/>
        <w:spacing w:after="200" w:before="400"/>
      </w:pPr>
      <w:r>
        <w:t xml:space="preserve">Konkrete Fragen im Kundengespräch</w:t>
      </w:r>
    </w:p>
    <w:p>
      <w:pPr>
        <w:spacing w:after="120"/>
      </w:pPr>
      <w:r>
        <w:rPr>
          <w:sz w:val="22"/>
          <w:szCs w:val="22"/>
        </w:rPr>
        <w:t xml:space="preserve">Und wie in der DIN beginnen wir nicht mit irgendeinem Produkt, sondern mit den Risiken, die Ihre Finanzplanung im Ernstfall gefährden könnten.</w:t>
      </w:r>
    </w:p>
    <w:p>
      <w:pPr>
        <w:pStyle w:val="Heading2"/>
        <w:spacing w:after="120" w:before="280"/>
      </w:pPr>
      <w:r>
        <w:t xml:space="preserve">5 — Existenzielle Risiken</w:t>
      </w:r>
    </w:p>
    <w:p>
      <w:pPr>
        <w:pStyle w:val="ListParagraph"/>
        <w:numPr>
          <w:ilvl w:val="0"/>
          <w:numId w:val="2"/>
        </w:numPr>
        <w:spacing w:after="70"/>
      </w:pPr>
      <w:r>
        <w:rPr>
          <w:sz w:val="22"/>
          <w:szCs w:val="22"/>
        </w:rPr>
        <w:t xml:space="preserve">Besteht eine private Haftpflichtversicherung mit ausreichender Versicherungssumme?</w:t>
      </w:r>
    </w:p>
    <w:p>
      <w:pPr>
        <w:pStyle w:val="ListParagraph"/>
        <w:numPr>
          <w:ilvl w:val="0"/>
          <w:numId w:val="2"/>
        </w:numPr>
        <w:spacing w:after="70"/>
      </w:pPr>
      <w:r>
        <w:rPr>
          <w:sz w:val="22"/>
          <w:szCs w:val="22"/>
        </w:rPr>
        <w:t xml:space="preserve">Ist Ihre Arbeitskraft abgesichert, falls Sie länger oder dauerhaft nicht arbeiten können?</w:t>
      </w:r>
    </w:p>
    <w:p>
      <w:pPr>
        <w:pStyle w:val="ListParagraph"/>
        <w:numPr>
          <w:ilvl w:val="0"/>
          <w:numId w:val="2"/>
        </w:numPr>
        <w:spacing w:after="70"/>
      </w:pPr>
      <w:r>
        <w:rPr>
          <w:sz w:val="22"/>
          <w:szCs w:val="22"/>
        </w:rPr>
        <w:t xml:space="preserve">Gibt es Menschen, die finanziell von Ihnen abhängig sind?</w:t>
      </w:r>
    </w:p>
    <w:p>
      <w:pPr>
        <w:pStyle w:val="ListParagraph"/>
        <w:numPr>
          <w:ilvl w:val="0"/>
          <w:numId w:val="2"/>
        </w:numPr>
        <w:spacing w:after="70"/>
      </w:pPr>
      <w:r>
        <w:rPr>
          <w:sz w:val="22"/>
          <w:szCs w:val="22"/>
        </w:rPr>
        <w:t xml:space="preserve">Wäre Ihre Familie im Todesfall finanziell abgesichert?</w:t>
      </w:r>
    </w:p>
    <w:p>
      <w:pPr>
        <w:pStyle w:val="ListParagraph"/>
        <w:numPr>
          <w:ilvl w:val="0"/>
          <w:numId w:val="2"/>
        </w:numPr>
        <w:spacing w:after="70"/>
      </w:pPr>
      <w:r>
        <w:rPr>
          <w:sz w:val="22"/>
          <w:szCs w:val="22"/>
        </w:rPr>
        <w:t xml:space="preserve">Gibt es besondere Haftungsrisiken, zum Beispiel durch Immobilien, Tiere, Fahrzeuge oder berufliche Tätigkeiten?</w:t>
      </w:r>
    </w:p>
    <w:p>
      <w:pPr>
        <w:pStyle w:val="Heading2"/>
        <w:spacing w:after="120" w:before="280"/>
      </w:pPr>
      <w:r>
        <w:t xml:space="preserve">6 — Liquidität, Notfallreserve und Schulden</w:t>
      </w:r>
    </w:p>
    <w:p>
      <w:pPr>
        <w:pStyle w:val="ListParagraph"/>
        <w:numPr>
          <w:ilvl w:val="0"/>
          <w:numId w:val="2"/>
        </w:numPr>
        <w:spacing w:after="70"/>
      </w:pPr>
      <w:r>
        <w:rPr>
          <w:sz w:val="22"/>
          <w:szCs w:val="22"/>
        </w:rPr>
        <w:t xml:space="preserve">Haben Sie eine kurzfristig verfügbare Notfallreserve?</w:t>
      </w:r>
    </w:p>
    <w:p>
      <w:pPr>
        <w:pStyle w:val="ListParagraph"/>
        <w:numPr>
          <w:ilvl w:val="0"/>
          <w:numId w:val="2"/>
        </w:numPr>
        <w:spacing w:after="70"/>
      </w:pPr>
      <w:r>
        <w:rPr>
          <w:sz w:val="22"/>
          <w:szCs w:val="22"/>
        </w:rPr>
        <w:t xml:space="preserve">Könnten Sie ungeplante Ausgaben stemmen, ohne einen Kredit aufzunehmen oder langfristige Anlagen zu verkaufen?</w:t>
      </w:r>
    </w:p>
    <w:p>
      <w:pPr>
        <w:pStyle w:val="ListParagraph"/>
        <w:numPr>
          <w:ilvl w:val="0"/>
          <w:numId w:val="2"/>
        </w:numPr>
        <w:spacing w:after="70"/>
      </w:pPr>
      <w:r>
        <w:rPr>
          <w:sz w:val="22"/>
          <w:szCs w:val="22"/>
        </w:rPr>
        <w:t xml:space="preserve">Wie viele Monatsausgaben könnten Sie aus vorhandener Liquidität überbrücken?</w:t>
      </w:r>
    </w:p>
    <w:p>
      <w:pPr>
        <w:pStyle w:val="ListParagraph"/>
        <w:numPr>
          <w:ilvl w:val="0"/>
          <w:numId w:val="2"/>
        </w:numPr>
        <w:spacing w:after="70"/>
      </w:pPr>
      <w:r>
        <w:rPr>
          <w:sz w:val="22"/>
          <w:szCs w:val="22"/>
        </w:rPr>
        <w:t xml:space="preserve">Gibt es Kredite, die die monatliche Liquidität sehr stark belasten?</w:t>
      </w:r>
    </w:p>
    <w:p>
      <w:pPr>
        <w:spacing w:after="60"/>
      </w:pPr>
      <w:r>
        <w:rPr>
          <w:i/>
          <w:iCs/>
          <w:sz w:val="21"/>
          <w:szCs w:val="21"/>
        </w:rPr>
        <w:t xml:space="preserve">Der beste langfristige Vertrag hilft wenig, wenn man ihn bei der ersten ungeplanten Ausgabe wieder anfassen muss.</w:t>
      </w:r>
    </w:p>
    <w:p>
      <w:pPr>
        <w:pStyle w:val="Heading2"/>
        <w:spacing w:after="120" w:before="280"/>
      </w:pPr>
      <w:r>
        <w:t xml:space="preserve">7 — Bestehende Altersvorsorge und Versorgungslücken</w:t>
      </w:r>
    </w:p>
    <w:p>
      <w:pPr>
        <w:spacing w:after="120"/>
      </w:pPr>
      <w:r>
        <w:rPr>
          <w:sz w:val="22"/>
          <w:szCs w:val="22"/>
        </w:rPr>
        <w:t xml:space="preserve">Bevor wir etwas Neues hinzufügen, sollten wir wissen, was bereits vorhanden ist.</w:t>
      </w:r>
    </w:p>
    <w:p>
      <w:pPr>
        <w:pStyle w:val="ListParagraph"/>
        <w:numPr>
          <w:ilvl w:val="0"/>
          <w:numId w:val="2"/>
        </w:numPr>
        <w:spacing w:after="70"/>
      </w:pPr>
      <w:r>
        <w:rPr>
          <w:sz w:val="22"/>
          <w:szCs w:val="22"/>
        </w:rPr>
        <w:t xml:space="preserve">Welche Altersvorsorgeverträge bestehen bereits?</w:t>
      </w:r>
    </w:p>
    <w:p>
      <w:pPr>
        <w:pStyle w:val="ListParagraph"/>
        <w:numPr>
          <w:ilvl w:val="0"/>
          <w:numId w:val="2"/>
        </w:numPr>
        <w:spacing w:after="70"/>
      </w:pPr>
      <w:r>
        <w:rPr>
          <w:sz w:val="22"/>
          <w:szCs w:val="22"/>
        </w:rPr>
        <w:t xml:space="preserve">Gibt es eine betriebliche Altersversorgung?</w:t>
      </w:r>
    </w:p>
    <w:p>
      <w:pPr>
        <w:pStyle w:val="ListParagraph"/>
        <w:numPr>
          <w:ilvl w:val="0"/>
          <w:numId w:val="2"/>
        </w:numPr>
        <w:spacing w:after="70"/>
      </w:pPr>
      <w:r>
        <w:rPr>
          <w:sz w:val="22"/>
          <w:szCs w:val="22"/>
        </w:rPr>
        <w:t xml:space="preserve">Welche gesetzliche oder berufsständische Versorgung ist zu erwarten?</w:t>
      </w:r>
    </w:p>
    <w:p>
      <w:pPr>
        <w:pStyle w:val="ListParagraph"/>
        <w:numPr>
          <w:ilvl w:val="0"/>
          <w:numId w:val="2"/>
        </w:numPr>
        <w:spacing w:after="70"/>
      </w:pPr>
      <w:r>
        <w:rPr>
          <w:sz w:val="22"/>
          <w:szCs w:val="22"/>
        </w:rPr>
        <w:t xml:space="preserve">Kennen Sie Ihre ungefähre Versorgungslücke?</w:t>
      </w:r>
    </w:p>
    <w:p>
      <w:pPr>
        <w:pStyle w:val="ListParagraph"/>
        <w:numPr>
          <w:ilvl w:val="0"/>
          <w:numId w:val="2"/>
        </w:numPr>
        <w:spacing w:after="70"/>
      </w:pPr>
      <w:r>
        <w:rPr>
          <w:sz w:val="22"/>
          <w:szCs w:val="22"/>
        </w:rPr>
        <w:t xml:space="preserve">Welche monatliche Sparrate ist realistisch, ohne Ihre Liquidität zu belasten?</w:t>
      </w:r>
    </w:p>
    <w:p>
      <w:pPr>
        <w:pStyle w:val="ListParagraph"/>
        <w:numPr>
          <w:ilvl w:val="0"/>
          <w:numId w:val="2"/>
        </w:numPr>
        <w:spacing w:after="70"/>
      </w:pPr>
      <w:r>
        <w:rPr>
          <w:sz w:val="22"/>
          <w:szCs w:val="22"/>
        </w:rPr>
        <w:t xml:space="preserve">Welche bestehenden Verträge laufen aktuell — und sind alle noch zeitgemäß und wirtschaftlich sinnvoll?</w:t>
      </w:r>
    </w:p>
    <w:p>
      <w:pPr>
        <w:pStyle w:val="ListParagraph"/>
        <w:numPr>
          <w:ilvl w:val="0"/>
          <w:numId w:val="2"/>
        </w:numPr>
        <w:spacing w:after="70"/>
      </w:pPr>
      <w:r>
        <w:rPr>
          <w:sz w:val="22"/>
          <w:szCs w:val="22"/>
        </w:rPr>
        <w:t xml:space="preserve">Gibt es Doppelversicherungen oder Verträge mit schlechter Leistung im Verhältnis zum Beitrag?</w:t>
      </w:r>
    </w:p>
    <w:p>
      <w:pPr>
        <w:pStyle w:val="ListParagraph"/>
        <w:numPr>
          <w:ilvl w:val="0"/>
          <w:numId w:val="2"/>
        </w:numPr>
        <w:spacing w:after="70"/>
      </w:pPr>
      <w:r>
        <w:rPr>
          <w:sz w:val="22"/>
          <w:szCs w:val="22"/>
        </w:rPr>
        <w:t xml:space="preserve">Könnte eine Kündigung, Beitragsfreistellung oder Umschichtung Kapital für die Altersvorsorge freisetzen?</w:t>
      </w:r>
    </w:p>
    <w:p>
      <w:pPr>
        <w:shd w:fill="F4F1EA" w:val="clear"/>
        <w:spacing w:after="300" w:before="100"/>
        <w:ind w:left="120" w:right="120"/>
      </w:pPr>
      <w:r>
        <w:rPr>
          <w:b/>
          <w:bCs/>
          <w:sz w:val="21"/>
          <w:szCs w:val="21"/>
        </w:rPr>
        <w:t xml:space="preserve">Neuer Gesprächspunkt: Kapital durch Vertragsprüfung freisetzen. </w:t>
      </w:r>
      <w:r>
        <w:rPr>
          <w:sz w:val="21"/>
          <w:szCs w:val="21"/>
        </w:rPr>
        <w:t xml:space="preserve">Bei der Bestandsprüfung lohnt sich fast immer der Blick auf bestehende Verträge: Doppelversicherungen, veraltete oder überteuerte Policen und ungenutzte Bausteine lassen sich häufig kündigen, zusammenlegen oder optimieren. Das dabei frei werdende Kapital fließt gezielt in die Altersvorsorge — Sie zahlen also nicht zwingend mehr, sondern setzen vorhandenes Geld klüger ein.</w:t>
      </w:r>
    </w:p>
    <w:p>
      <w:pPr>
        <w:pStyle w:val="Heading2"/>
        <w:spacing w:after="120" w:before="280"/>
      </w:pPr>
      <w:r>
        <w:t xml:space="preserve">Schritt 8 — Überleitung zum Folgetermin oder nächsten Schritt</w:t>
      </w:r>
    </w:p>
    <w:p>
      <w:pPr>
        <w:pBdr>
          <w:left w:val="single" w:color="B58A2E" w:sz="18" w:space="8"/>
        </w:pBdr>
        <w:shd w:fill="F4F1EA" w:val="clear"/>
        <w:spacing w:after="120" w:before="100"/>
        <w:ind w:left="120"/>
      </w:pPr>
      <w:r>
        <w:rPr>
          <w:b/>
          <w:bCs/>
          <w:sz w:val="21"/>
          <w:szCs w:val="21"/>
        </w:rPr>
        <w:t xml:space="preserve">Ziel: </w:t>
      </w:r>
      <w:r>
        <w:rPr>
          <w:sz w:val="21"/>
          <w:szCs w:val="21"/>
        </w:rPr>
        <w:t xml:space="preserve">Das Gespräch soll zur Analyse direkt mit einem klaren nächsten Schritt enden.</w:t>
      </w:r>
    </w:p>
    <w:p>
      <w:pPr>
        <w:spacing w:after="100" w:before="120"/>
      </w:pPr>
      <w:r>
        <w:rPr>
          <w:b/>
          <w:bCs/>
          <w:color w:val="12233B"/>
          <w:sz w:val="21"/>
          <w:szCs w:val="21"/>
        </w:rPr>
        <w:t xml:space="preserve">Überleitung nach dem DIN-Finanz-Check</w:t>
      </w:r>
    </w:p>
    <w:p>
      <w:pPr>
        <w:spacing w:after="100"/>
      </w:pPr>
      <w:r>
        <w:rPr>
          <w:b/>
          <w:bCs/>
          <w:sz w:val="21"/>
          <w:szCs w:val="21"/>
        </w:rPr>
        <w:t xml:space="preserve">Wenn der Check offene Punkte zeigt: </w:t>
      </w:r>
      <w:r>
        <w:rPr>
          <w:sz w:val="21"/>
          <w:szCs w:val="21"/>
        </w:rPr>
        <w:t xml:space="preserve">Der Check zeigt, dass vor der konkreten Altersvorsorgeentscheidung noch ein paar Grundlagen geklärt werden sollten. Das heißt nicht, dass Altersvorsorge unwichtig ist. Im Gegenteil, wir sorgen nur dafür, dass sie auf einem stabilen Fundament steht.</w:t>
      </w:r>
    </w:p>
    <w:p>
      <w:pPr>
        <w:spacing w:after="100"/>
      </w:pPr>
      <w:r>
        <w:rPr>
          <w:b/>
          <w:bCs/>
          <w:sz w:val="21"/>
          <w:szCs w:val="21"/>
        </w:rPr>
        <w:t xml:space="preserve">Wenn die Basis weitgehend stimmt: </w:t>
      </w:r>
      <w:r>
        <w:rPr>
          <w:sz w:val="21"/>
          <w:szCs w:val="21"/>
        </w:rPr>
        <w:t xml:space="preserve">Die wichtigsten Grundlagen sehen gut aus. Dann können wir im nächsten Schritt gezielt über Ihre Altersvorsorgelösung sprechen: Sparrate, Zeithorizont, Risiko, Kosten und passende Umsetzung.</w:t>
      </w:r>
    </w:p>
    <w:p>
      <w:pPr>
        <w:spacing w:after="160"/>
      </w:pPr>
      <w:r>
        <w:rPr>
          <w:b/>
          <w:bCs/>
          <w:sz w:val="21"/>
          <w:szCs w:val="21"/>
        </w:rPr>
        <w:t xml:space="preserve">Wenn der Kunde unsicher ist: </w:t>
      </w:r>
      <w:r>
        <w:rPr>
          <w:sz w:val="21"/>
          <w:szCs w:val="21"/>
        </w:rPr>
        <w:t xml:space="preserve">Sie müssen heute keine Entscheidung treffen. Mein Vorschlag ist: Wir halten die offenen Punkte fest, priorisieren sie und entscheiden dann gemeinsam, was zuerst angegangen wird.</w:t>
      </w:r>
    </w:p>
    <w:p>
      <w:pPr>
        <w:spacing w:after="100" w:before="100"/>
      </w:pPr>
      <w:r>
        <w:rPr>
          <w:b/>
          <w:bCs/>
          <w:color w:val="12233B"/>
          <w:sz w:val="21"/>
          <w:szCs w:val="21"/>
        </w:rPr>
        <w:t xml:space="preserve">Vorschlag für den nächsten Termin</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116"/>
        <w:gridCol w:w="3116"/>
        <w:gridCol w:w="3116"/>
      </w:tblGrid>
      <w:tr>
        <w:tc>
          <w:tcPr>
            <w:tcW w:type="dxa" w:w="3116"/>
            <w:shd w:fill="FFFFFF" w:val="clear"/>
            <w:tcMar>
              <w:top w:type="dxa" w:w="100"/>
              <w:left w:type="dxa" w:w="100"/>
              <w:bottom w:type="dxa" w:w="100"/>
              <w:right w:type="dxa" w:w="100"/>
            </w:tcMar>
          </w:tcPr>
          <w:p>
            <w:pPr>
              <w:spacing w:after="60"/>
            </w:pPr>
            <w:r>
              <w:rPr>
                <w:b/>
                <w:bCs/>
                <w:color w:val="B58A2E"/>
                <w:sz w:val="19"/>
                <w:szCs w:val="19"/>
              </w:rPr>
              <w:t xml:space="preserve">DIN-Analyse als nächster Schritt</w:t>
            </w:r>
          </w:p>
          <w:p>
            <w:pPr>
              <w:spacing w:after="40"/>
            </w:pPr>
            <w:r>
              <w:rPr>
                <w:sz w:val="20"/>
                <w:szCs w:val="20"/>
              </w:rPr>
              <w:t xml:space="preserve">Der sinnvollste nächste Schritt ist nun Ihr persönlicher Finanz-Check auf Basis der DIN 77230.</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Etwas ausführlicher mit DIN-Bezug</w:t>
            </w:r>
          </w:p>
          <w:p>
            <w:pPr>
              <w:spacing w:after="40"/>
            </w:pPr>
            <w:r>
              <w:rPr>
                <w:sz w:val="20"/>
                <w:szCs w:val="20"/>
              </w:rPr>
              <w:t xml:space="preserve">Ich fasse Ihnen das Gespräch (bis jetzt) noch mal kurz zusammen.</w:t>
            </w:r>
          </w:p>
          <w:p>
            <w:pPr>
              <w:spacing w:after="40"/>
            </w:pPr>
            <w:r>
              <w:rPr>
                <w:sz w:val="20"/>
                <w:szCs w:val="20"/>
              </w:rPr>
              <w:t xml:space="preserve">Wir klären: was ist bereits gut geregelt, wo gibt es offene Fragen und was sollten wir als Nächstes prüfen. Danach können wir sehr gezielt über Altersvorsorge sprechen.</w:t>
            </w:r>
          </w:p>
        </w:tc>
        <w:tc>
          <w:tcPr>
            <w:tcW w:type="dxa" w:w="3116"/>
            <w:shd w:fill="FFFFFF" w:val="clear"/>
            <w:tcMar>
              <w:top w:type="dxa" w:w="100"/>
              <w:left w:type="dxa" w:w="100"/>
              <w:bottom w:type="dxa" w:w="100"/>
              <w:right w:type="dxa" w:w="100"/>
            </w:tcMar>
          </w:tcPr>
          <w:p>
            <w:pPr>
              <w:spacing w:after="60"/>
            </w:pPr>
            <w:r>
              <w:rPr>
                <w:b/>
                <w:bCs/>
                <w:color w:val="B58A2E"/>
                <w:sz w:val="19"/>
                <w:szCs w:val="19"/>
              </w:rPr>
              <w:t xml:space="preserve">Verbindlich</w:t>
            </w:r>
          </w:p>
          <w:p>
            <w:pPr>
              <w:spacing w:after="40"/>
            </w:pPr>
            <w:r>
              <w:rPr>
                <w:sz w:val="20"/>
                <w:szCs w:val="20"/>
              </w:rPr>
              <w:t xml:space="preserve">Wir machen es in zwei Schritten: Heute klären wir mit der DIN-Analyse die Ausgangslage.</w:t>
            </w:r>
          </w:p>
          <w:p>
            <w:pPr>
              <w:spacing w:after="40"/>
            </w:pPr>
            <w:r>
              <w:rPr>
                <w:sz w:val="20"/>
                <w:szCs w:val="20"/>
              </w:rPr>
              <w:t xml:space="preserve">Im nächsten Termin besprechen wir die passende Umsetzung.</w:t>
            </w:r>
          </w:p>
          <w:p>
            <w:pPr>
              <w:spacing w:after="40"/>
            </w:pPr>
            <w:r>
              <w:rPr>
                <w:sz w:val="20"/>
                <w:szCs w:val="20"/>
              </w:rPr>
              <w:t xml:space="preserve">So können Sie auch noch mal ganz in Ruhe über die Ergebnisse „schlafen".</w:t>
            </w:r>
          </w:p>
        </w:tc>
      </w:tr>
    </w:tbl>
    <w:p>
      <w:pPr>
        <w:spacing w:after="200"/>
      </w:pPr>
    </w:p>
    <w:p>
      <w:pPr>
        <w:pStyle w:val="Heading1"/>
        <w:spacing w:after="200" w:before="400"/>
      </w:pPr>
      <w:r>
        <w:t xml:space="preserve">Typische Kundeneinwände und Antwortbausteine</w:t>
      </w:r>
    </w:p>
    <w:tbl>
      <w:tblPr>
        <w:tblW w:type="dxa" w:w="9350"/>
        <w:tblBorders>
          <w:top w:val="single" w:color="auto" w:sz="4"/>
          <w:left w:val="single" w:color="auto" w:sz="4"/>
          <w:bottom w:val="single" w:color="auto" w:sz="4"/>
          <w:right w:val="single" w:color="auto" w:sz="4"/>
          <w:insideH w:val="single" w:color="auto" w:sz="4"/>
          <w:insideV w:val="single" w:color="auto" w:sz="4"/>
        </w:tblBorders>
      </w:tblPr>
      <w:tblGrid>
        <w:gridCol w:w="3300"/>
        <w:gridCol w:w="6050"/>
      </w:tblGrid>
      <w:tr>
        <w:tc>
          <w:tcPr>
            <w:tcW w:type="dxa" w:w="3300"/>
            <w:shd w:fill="12233B" w:val="clear"/>
          </w:tcPr>
          <w:p>
            <w:r>
              <w:rPr>
                <w:b/>
                <w:bCs/>
                <w:color w:val="FFFFFF"/>
                <w:sz w:val="20"/>
                <w:szCs w:val="20"/>
              </w:rPr>
              <w:t xml:space="preserve">Einwand</w:t>
            </w:r>
          </w:p>
        </w:tc>
        <w:tc>
          <w:tcPr>
            <w:tcW w:type="dxa" w:w="6050"/>
            <w:shd w:fill="12233B" w:val="clear"/>
          </w:tcPr>
          <w:p>
            <w:r>
              <w:rPr>
                <w:b/>
                <w:bCs/>
                <w:color w:val="FFFFFF"/>
                <w:sz w:val="20"/>
                <w:szCs w:val="20"/>
              </w:rPr>
              <w:t xml:space="preserve">Antwortbaustein</w:t>
            </w:r>
          </w:p>
        </w:tc>
      </w:tr>
      <w:tr>
        <w:tc>
          <w:tcPr>
            <w:tcW w:type="dxa" w:w="3300"/>
            <w:tcMar>
              <w:top w:type="dxa" w:w="80"/>
              <w:left w:type="dxa" w:w="100"/>
              <w:bottom w:type="dxa" w:w="80"/>
              <w:right w:type="dxa" w:w="100"/>
            </w:tcMar>
          </w:tcPr>
          <w:p>
            <w:r>
              <w:rPr>
                <w:i/>
                <w:iCs/>
                <w:sz w:val="20"/>
                <w:szCs w:val="20"/>
              </w:rPr>
              <w:t xml:space="preserve">„Ich will eigentlich nur wissen, ob das Altersvorsorgedepot für mich sinnvoll ist.“</w:t>
            </w:r>
          </w:p>
        </w:tc>
        <w:tc>
          <w:tcPr>
            <w:tcW w:type="dxa" w:w="6050"/>
            <w:tcMar>
              <w:top w:type="dxa" w:w="80"/>
              <w:left w:type="dxa" w:w="100"/>
              <w:bottom w:type="dxa" w:w="80"/>
              <w:right w:type="dxa" w:w="100"/>
            </w:tcMar>
          </w:tcPr>
          <w:p>
            <w:r>
              <w:rPr>
                <w:sz w:val="20"/>
                <w:szCs w:val="20"/>
              </w:rPr>
              <w:t xml:space="preserve">Genau das klären wir. Aber die Antwort hängt nicht nur von Kosten, Renditen und Förderung ab, sondern von Ihrer gesamten Situation: vorhandene Absicherung, Liquidität, Zeithorizont, Sparfähigkeit und bestehende Vorsorge. Aktuell wollen Sie mit der Inneneinrichtung starten, bevor Fundament, Wände und Dach stehen — dann wird es schnell zu kalt, zu warm oder zu nass. Genau deshalb machen wir zuerst den kurzen DIN-Check.</w:t>
            </w:r>
          </w:p>
        </w:tc>
      </w:tr>
      <w:tr>
        <w:tc>
          <w:tcPr>
            <w:tcW w:type="dxa" w:w="3300"/>
            <w:tcMar>
              <w:top w:type="dxa" w:w="80"/>
              <w:left w:type="dxa" w:w="100"/>
              <w:bottom w:type="dxa" w:w="80"/>
              <w:right w:type="dxa" w:w="100"/>
            </w:tcMar>
          </w:tcPr>
          <w:p>
            <w:r>
              <w:rPr>
                <w:i/>
                <w:iCs/>
                <w:sz w:val="20"/>
                <w:szCs w:val="20"/>
              </w:rPr>
              <w:t xml:space="preserve">„Ich möchte erst einmal investieren.“</w:t>
            </w:r>
          </w:p>
        </w:tc>
        <w:tc>
          <w:tcPr>
            <w:tcW w:type="dxa" w:w="6050"/>
            <w:tcMar>
              <w:top w:type="dxa" w:w="80"/>
              <w:left w:type="dxa" w:w="100"/>
              <w:bottom w:type="dxa" w:w="80"/>
              <w:right w:type="dxa" w:w="100"/>
            </w:tcMar>
          </w:tcPr>
          <w:p>
            <w:r>
              <w:rPr>
                <w:sz w:val="20"/>
                <w:szCs w:val="20"/>
              </w:rPr>
              <w:t xml:space="preserve">Das ist auch absolut sinnvoll, so früh wie möglich zu starten. Wichtig ist nur, dass das Geld, das langfristig investiert wird, auch langfristig liegen bleiben kann. Deshalb prüfen wir kurz, ob genug Reserve vorhanden ist und ob keine existenziellen Risiken offen sind.</w:t>
            </w:r>
          </w:p>
        </w:tc>
      </w:tr>
      <w:tr>
        <w:tc>
          <w:tcPr>
            <w:tcW w:type="dxa" w:w="3300"/>
            <w:tcMar>
              <w:top w:type="dxa" w:w="80"/>
              <w:left w:type="dxa" w:w="100"/>
              <w:bottom w:type="dxa" w:w="80"/>
              <w:right w:type="dxa" w:w="100"/>
            </w:tcMar>
          </w:tcPr>
          <w:p>
            <w:r>
              <w:rPr>
                <w:i/>
                <w:iCs/>
                <w:sz w:val="20"/>
                <w:szCs w:val="20"/>
              </w:rPr>
              <w:t xml:space="preserve">„Versicherungen kosten doch nur Rendite.“</w:t>
            </w:r>
          </w:p>
        </w:tc>
        <w:tc>
          <w:tcPr>
            <w:tcW w:type="dxa" w:w="6050"/>
            <w:tcMar>
              <w:top w:type="dxa" w:w="80"/>
              <w:left w:type="dxa" w:w="100"/>
              <w:bottom w:type="dxa" w:w="80"/>
              <w:right w:type="dxa" w:w="100"/>
            </w:tcMar>
          </w:tcPr>
          <w:p>
            <w:r>
              <w:rPr>
                <w:sz w:val="20"/>
                <w:szCs w:val="20"/>
              </w:rPr>
              <w:t xml:space="preserve">Fundamentale Versicherungen, wie Haftpflicht oder die Absicherung Ihrer Arbeitskraft, sollen gar keine Rendite bringen. Sie schützen Ihre Ziele und Wünsche vor Ereignissen, die Rendite komplett zunichtemachen können. Es geht nicht darum, alles zu versichern, sondern die wirklich existenziellen Risiken wirtschaftlich sinnvoll abzusichern.</w:t>
            </w:r>
          </w:p>
        </w:tc>
      </w:tr>
      <w:tr>
        <w:tc>
          <w:tcPr>
            <w:tcW w:type="dxa" w:w="3300"/>
            <w:tcMar>
              <w:top w:type="dxa" w:w="80"/>
              <w:left w:type="dxa" w:w="100"/>
              <w:bottom w:type="dxa" w:w="80"/>
              <w:right w:type="dxa" w:w="100"/>
            </w:tcMar>
          </w:tcPr>
          <w:p>
            <w:r>
              <w:rPr>
                <w:i/>
                <w:iCs/>
                <w:sz w:val="20"/>
                <w:szCs w:val="20"/>
              </w:rPr>
              <w:t xml:space="preserve">„Ich habe schon eine BU / Altersvorsorge.“</w:t>
            </w:r>
          </w:p>
        </w:tc>
        <w:tc>
          <w:tcPr>
            <w:tcW w:type="dxa" w:w="6050"/>
            <w:tcMar>
              <w:top w:type="dxa" w:w="80"/>
              <w:left w:type="dxa" w:w="100"/>
              <w:bottom w:type="dxa" w:w="80"/>
              <w:right w:type="dxa" w:w="100"/>
            </w:tcMar>
          </w:tcPr>
          <w:p>
            <w:r>
              <w:rPr>
                <w:sz w:val="20"/>
                <w:szCs w:val="20"/>
              </w:rPr>
              <w:t xml:space="preserve">Sehr gut. Dann geht es nicht darum, etwas doppelt zu machen. Wir prüfen nur kurz, ob der bestehende Schutz zur aktuellen Lebenssituation passt und ob die Höhe noch ausreicht.</w:t>
            </w:r>
          </w:p>
        </w:tc>
      </w:tr>
      <w:tr>
        <w:tc>
          <w:tcPr>
            <w:tcW w:type="dxa" w:w="3300"/>
            <w:tcMar>
              <w:top w:type="dxa" w:w="80"/>
              <w:left w:type="dxa" w:w="100"/>
              <w:bottom w:type="dxa" w:w="80"/>
              <w:right w:type="dxa" w:w="100"/>
            </w:tcMar>
          </w:tcPr>
          <w:p>
            <w:r>
              <w:rPr>
                <w:i/>
                <w:iCs/>
                <w:sz w:val="20"/>
                <w:szCs w:val="20"/>
              </w:rPr>
              <w:t xml:space="preserve">„Das kann ich doch online selbst machen.“</w:t>
            </w:r>
          </w:p>
        </w:tc>
        <w:tc>
          <w:tcPr>
            <w:tcW w:type="dxa" w:w="6050"/>
            <w:tcMar>
              <w:top w:type="dxa" w:w="80"/>
              <w:left w:type="dxa" w:w="100"/>
              <w:bottom w:type="dxa" w:w="80"/>
              <w:right w:type="dxa" w:w="100"/>
            </w:tcMar>
          </w:tcPr>
          <w:p>
            <w:r>
              <w:rPr>
                <w:sz w:val="20"/>
                <w:szCs w:val="20"/>
              </w:rPr>
              <w:t xml:space="preserve">Einzelne Produkte kann man online vergleichen. Die wichtigere Frage ist aber: Was ist in Ihrer Situation die richtige Reihenfolge? Genau dabei hilft nur eine strukturierte Analyse und Beratung.</w:t>
            </w:r>
          </w:p>
        </w:tc>
      </w:tr>
      <w:tr>
        <w:tc>
          <w:tcPr>
            <w:tcW w:type="dxa" w:w="3300"/>
            <w:tcMar>
              <w:top w:type="dxa" w:w="80"/>
              <w:left w:type="dxa" w:w="100"/>
              <w:bottom w:type="dxa" w:w="80"/>
              <w:right w:type="dxa" w:w="100"/>
            </w:tcMar>
          </w:tcPr>
          <w:p>
            <w:r>
              <w:rPr>
                <w:i/>
                <w:iCs/>
                <w:sz w:val="20"/>
                <w:szCs w:val="20"/>
              </w:rPr>
              <w:t xml:space="preserve">„Für zusätzliche Altersvorsorge habe ich gar kein Geld übrig.“</w:t>
            </w:r>
          </w:p>
        </w:tc>
        <w:tc>
          <w:tcPr>
            <w:tcW w:type="dxa" w:w="6050"/>
            <w:tcMar>
              <w:top w:type="dxa" w:w="80"/>
              <w:left w:type="dxa" w:w="100"/>
              <w:bottom w:type="dxa" w:w="80"/>
              <w:right w:type="dxa" w:w="100"/>
            </w:tcMar>
          </w:tcPr>
          <w:p>
            <w:r>
              <w:rPr>
                <w:sz w:val="20"/>
                <w:szCs w:val="20"/>
              </w:rPr>
              <w:t xml:space="preserve">Das hören wir oft — und genau deshalb lohnt sich der Blick auf Ihre bestehenden Verträge. Bei der Bestandsprüfung stellen wir häufig fest, dass sich Doppelversicherungen, veraltete oder überteuerte Verträge kündigen, zusammenlegen oder optimieren lassen. Das dabei frei werdende Kapital nutzen wir gezielt für Ihre Altersvorsorge. Sie zahlen also nicht unbedingt mehr, sondern setzen vorhandenes Geld klüger ein.</w:t>
            </w:r>
          </w:p>
        </w:tc>
      </w:tr>
    </w:tbl>
    <w:p>
      <w:pPr>
        <w:spacing w:after="300"/>
      </w:pPr>
    </w:p>
    <w:p>
      <w:pPr>
        <w:pStyle w:val="Heading1"/>
        <w:spacing w:after="200" w:before="400"/>
      </w:pPr>
      <w:r>
        <w:t xml:space="preserve">Kernbotschaften für Berater</w:t>
      </w:r>
    </w:p>
    <w:p>
      <w:pPr>
        <w:spacing w:after="120"/>
      </w:pPr>
      <w:r>
        <w:rPr>
          <w:sz w:val="22"/>
          <w:szCs w:val="22"/>
        </w:rPr>
        <w:t xml:space="preserve">Diese Sätze würde ich Beratern als wiederkehrende Formulierungen mitgeben:</w:t>
      </w:r>
    </w:p>
    <w:p>
      <w:pPr>
        <w:pStyle w:val="ListParagraph"/>
        <w:numPr>
          <w:ilvl w:val="0"/>
          <w:numId w:val="2"/>
        </w:numPr>
        <w:spacing w:after="70"/>
      </w:pPr>
      <w:r>
        <w:rPr>
          <w:sz w:val="22"/>
          <w:szCs w:val="22"/>
        </w:rPr>
        <w:t xml:space="preserve">„Altersvorsorge ist kein Einzelthema, sondern Teil Ihrer Finanzarchitektur.“</w:t>
      </w:r>
    </w:p>
    <w:p>
      <w:pPr>
        <w:pStyle w:val="ListParagraph"/>
        <w:numPr>
          <w:ilvl w:val="0"/>
          <w:numId w:val="2"/>
        </w:numPr>
        <w:spacing w:after="70"/>
      </w:pPr>
      <w:r>
        <w:rPr>
          <w:sz w:val="22"/>
          <w:szCs w:val="22"/>
        </w:rPr>
        <w:t xml:space="preserve">„Rendite ist wichtig, aber erst, wenn die Basis steht.“</w:t>
      </w:r>
    </w:p>
    <w:p>
      <w:pPr>
        <w:pStyle w:val="ListParagraph"/>
        <w:numPr>
          <w:ilvl w:val="0"/>
          <w:numId w:val="2"/>
        </w:numPr>
        <w:spacing w:after="70"/>
      </w:pPr>
      <w:r>
        <w:rPr>
          <w:sz w:val="22"/>
          <w:szCs w:val="22"/>
        </w:rPr>
        <w:t xml:space="preserve">„Wir starten nicht mit dem Produkt, sondern mit Ihrer Situation.“</w:t>
      </w:r>
    </w:p>
    <w:p>
      <w:pPr>
        <w:pStyle w:val="ListParagraph"/>
        <w:numPr>
          <w:ilvl w:val="0"/>
          <w:numId w:val="2"/>
        </w:numPr>
        <w:spacing w:after="70"/>
      </w:pPr>
      <w:r>
        <w:rPr>
          <w:sz w:val="22"/>
          <w:szCs w:val="22"/>
        </w:rPr>
        <w:t xml:space="preserve">„Der Check nach DIN 77230 verhindert, dass wichtige Themen übersehen werden.“</w:t>
      </w:r>
    </w:p>
    <w:p>
      <w:pPr>
        <w:pStyle w:val="ListParagraph"/>
        <w:numPr>
          <w:ilvl w:val="0"/>
          <w:numId w:val="2"/>
        </w:numPr>
        <w:spacing w:after="70"/>
      </w:pPr>
      <w:r>
        <w:rPr>
          <w:sz w:val="22"/>
          <w:szCs w:val="22"/>
        </w:rPr>
        <w:t xml:space="preserve">„Erst Klarheit, dann Entscheidung, dann Umsetzung.“</w:t>
      </w:r>
    </w:p>
    <w:p>
      <w:pPr>
        <w:pStyle w:val="ListParagraph"/>
        <w:numPr>
          <w:ilvl w:val="0"/>
          <w:numId w:val="2"/>
        </w:numPr>
        <w:spacing w:after="70"/>
      </w:pPr>
      <w:r>
        <w:rPr>
          <w:sz w:val="22"/>
          <w:szCs w:val="22"/>
        </w:rPr>
        <w:t xml:space="preserve">„Manchmal steckt das Kapital für die Altersvorsorge schon in Ihren bestehenden Verträgen — wir finden es.“</w:t>
      </w:r>
    </w:p>
    <w:p>
      <w:pPr>
        <w:pStyle w:val="Heading1"/>
        <w:spacing w:after="200" w:before="400"/>
      </w:pPr>
      <w:r>
        <w:t xml:space="preserve">Empfohlene Positionierung im Beratungsset</w:t>
      </w:r>
    </w:p>
    <w:p>
      <w:pPr>
        <w:spacing w:after="120"/>
      </w:pPr>
      <w:r>
        <w:rPr>
          <w:sz w:val="22"/>
          <w:szCs w:val="22"/>
        </w:rPr>
        <w:t xml:space="preserve">Kundenpräsentation erklärt das Warum: Altersvorsorge nicht isoliert betrachten. Gesprächsleitfaden liefert das Wie: Formulierungen, Übergänge, Einwände. DIN-Check macht es konkret: Welche Grundlagen sind zu prüfen.</w:t>
      </w:r>
    </w:p>
    <w:p>
      <w:pPr>
        <w:spacing w:after="120"/>
      </w:pPr>
      <w:r>
        <w:rPr>
          <w:sz w:val="22"/>
          <w:szCs w:val="22"/>
        </w:rPr>
        <w:t xml:space="preserve">Damit wird aus den vorhandenen Materialien ein anwendungsfähiges Beratungsset: Der Berater kann den Anlass aufnehmen, die richtige Reihenfolge erklären, typische Einwände beantworten und anschließend strukturiert in den DIN-basierten Kurzcheck überleiten.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2026-07-23T16:54:55.084Z</dcterms:created>
  <dcterms:modified xsi:type="dcterms:W3CDTF">2026-07-23T16:54:55.098Z</dcterms:modified>
</cp:coreProperties>
</file>

<file path=docProps/custom.xml><?xml version="1.0" encoding="utf-8"?>
<Properties xmlns="http://schemas.openxmlformats.org/officeDocument/2006/custom-properties" xmlns:vt="http://schemas.openxmlformats.org/officeDocument/2006/docPropsVTypes"/>
</file>